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3BBCC" w14:textId="77777777" w:rsidR="003644D5" w:rsidRDefault="003644D5">
      <w:pPr>
        <w:widowControl w:val="0"/>
        <w:pBdr>
          <w:top w:val="nil"/>
          <w:left w:val="nil"/>
          <w:bottom w:val="nil"/>
          <w:right w:val="nil"/>
          <w:between w:val="nil"/>
        </w:pBdr>
        <w:spacing w:after="0" w:line="276" w:lineRule="auto"/>
        <w:rPr>
          <w:rFonts w:ascii="Arial" w:eastAsia="Arial" w:hAnsi="Arial" w:cs="Arial"/>
          <w:color w:val="000000"/>
        </w:rPr>
      </w:pPr>
    </w:p>
    <w:tbl>
      <w:tblPr>
        <w:tblStyle w:val="a6"/>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
        <w:gridCol w:w="2335"/>
        <w:gridCol w:w="3026"/>
        <w:gridCol w:w="3276"/>
        <w:gridCol w:w="27"/>
      </w:tblGrid>
      <w:tr w:rsidR="003644D5" w14:paraId="268473FA" w14:textId="77777777" w:rsidTr="4742A802">
        <w:trPr>
          <w:gridAfter w:val="1"/>
          <w:wAfter w:w="27" w:type="dxa"/>
          <w:trHeight w:val="856"/>
          <w:jc w:val="center"/>
        </w:trPr>
        <w:tc>
          <w:tcPr>
            <w:tcW w:w="2731" w:type="dxa"/>
            <w:gridSpan w:val="2"/>
            <w:shd w:val="clear" w:color="auto" w:fill="FFFFFF" w:themeFill="background1"/>
            <w:vAlign w:val="center"/>
          </w:tcPr>
          <w:p w14:paraId="11B85076" w14:textId="77777777" w:rsidR="003644D5" w:rsidRDefault="00000000">
            <w:pPr>
              <w:pBdr>
                <w:top w:val="nil"/>
                <w:left w:val="nil"/>
                <w:bottom w:val="nil"/>
                <w:right w:val="nil"/>
                <w:between w:val="nil"/>
              </w:pBdr>
              <w:spacing w:line="360" w:lineRule="auto"/>
              <w:ind w:right="310"/>
              <w:rPr>
                <w:rFonts w:ascii="Times New Roman" w:eastAsia="Times New Roman" w:hAnsi="Times New Roman"/>
                <w:b/>
                <w:color w:val="000000"/>
              </w:rPr>
            </w:pPr>
            <w:r>
              <w:rPr>
                <w:rFonts w:ascii="Times New Roman" w:eastAsia="Times New Roman" w:hAnsi="Times New Roman"/>
                <w:b/>
                <w:color w:val="000000"/>
              </w:rPr>
              <w:t xml:space="preserve">TOPLANTI KONUSU: </w:t>
            </w:r>
          </w:p>
        </w:tc>
        <w:tc>
          <w:tcPr>
            <w:tcW w:w="6302" w:type="dxa"/>
            <w:gridSpan w:val="2"/>
            <w:shd w:val="clear" w:color="auto" w:fill="FFFFFF" w:themeFill="background1"/>
          </w:tcPr>
          <w:p w14:paraId="66F3800E" w14:textId="4949D022" w:rsidR="003644D5" w:rsidRDefault="00891304">
            <w:pPr>
              <w:pBdr>
                <w:top w:val="nil"/>
                <w:left w:val="nil"/>
                <w:bottom w:val="nil"/>
                <w:right w:val="nil"/>
                <w:between w:val="nil"/>
              </w:pBdr>
              <w:spacing w:line="360" w:lineRule="auto"/>
              <w:ind w:right="310"/>
              <w:rPr>
                <w:rFonts w:ascii="Times New Roman" w:eastAsia="Times New Roman" w:hAnsi="Times New Roman"/>
                <w:b/>
                <w:color w:val="000000"/>
              </w:rPr>
            </w:pPr>
            <w:r>
              <w:rPr>
                <w:rFonts w:ascii="Times New Roman" w:eastAsia="Times New Roman" w:hAnsi="Times New Roman"/>
                <w:b/>
                <w:color w:val="000000"/>
              </w:rPr>
              <w:t>Ders Değerlendirme Anketleri Raporu</w:t>
            </w:r>
          </w:p>
        </w:tc>
      </w:tr>
      <w:tr w:rsidR="003644D5" w14:paraId="14100512" w14:textId="77777777" w:rsidTr="4742A802">
        <w:trPr>
          <w:gridAfter w:val="1"/>
          <w:wAfter w:w="27" w:type="dxa"/>
          <w:trHeight w:val="19"/>
          <w:jc w:val="center"/>
        </w:trPr>
        <w:tc>
          <w:tcPr>
            <w:tcW w:w="2731" w:type="dxa"/>
            <w:gridSpan w:val="2"/>
            <w:shd w:val="clear" w:color="auto" w:fill="FFFFFF" w:themeFill="background1"/>
            <w:vAlign w:val="center"/>
          </w:tcPr>
          <w:p w14:paraId="4261FDF6" w14:textId="77777777" w:rsidR="003644D5" w:rsidRDefault="00000000">
            <w:pPr>
              <w:pBdr>
                <w:top w:val="nil"/>
                <w:left w:val="nil"/>
                <w:bottom w:val="nil"/>
                <w:right w:val="nil"/>
                <w:between w:val="nil"/>
              </w:pBdr>
              <w:spacing w:line="360" w:lineRule="auto"/>
              <w:ind w:right="310"/>
              <w:rPr>
                <w:rFonts w:ascii="Times New Roman" w:eastAsia="Times New Roman" w:hAnsi="Times New Roman"/>
                <w:b/>
                <w:color w:val="000000"/>
              </w:rPr>
            </w:pPr>
            <w:r>
              <w:rPr>
                <w:rFonts w:ascii="Times New Roman" w:eastAsia="Times New Roman" w:hAnsi="Times New Roman"/>
                <w:b/>
                <w:color w:val="000000"/>
              </w:rPr>
              <w:t xml:space="preserve">TOPLANTI TARİHİ </w:t>
            </w:r>
          </w:p>
        </w:tc>
        <w:tc>
          <w:tcPr>
            <w:tcW w:w="6302" w:type="dxa"/>
            <w:gridSpan w:val="2"/>
            <w:shd w:val="clear" w:color="auto" w:fill="FFFFFF" w:themeFill="background1"/>
          </w:tcPr>
          <w:p w14:paraId="44588C6D" w14:textId="7384CDC5" w:rsidR="003644D5" w:rsidRDefault="005D38F5" w:rsidP="4742A802">
            <w:pPr>
              <w:pBdr>
                <w:top w:val="nil"/>
                <w:left w:val="nil"/>
                <w:bottom w:val="nil"/>
                <w:right w:val="nil"/>
                <w:between w:val="nil"/>
              </w:pBdr>
              <w:spacing w:line="360" w:lineRule="auto"/>
              <w:ind w:right="310"/>
              <w:rPr>
                <w:rFonts w:ascii="Times New Roman" w:eastAsia="Times New Roman" w:hAnsi="Times New Roman"/>
                <w:b/>
                <w:bCs/>
                <w:color w:val="000000"/>
              </w:rPr>
            </w:pPr>
            <w:r>
              <w:rPr>
                <w:rFonts w:ascii="Times New Roman" w:eastAsia="Times New Roman" w:hAnsi="Times New Roman"/>
                <w:b/>
                <w:bCs/>
                <w:color w:val="000000" w:themeColor="text1"/>
              </w:rPr>
              <w:t>13</w:t>
            </w:r>
            <w:r w:rsidR="00346873" w:rsidRPr="4742A802">
              <w:rPr>
                <w:rFonts w:ascii="Times New Roman" w:eastAsia="Times New Roman" w:hAnsi="Times New Roman"/>
                <w:b/>
                <w:bCs/>
                <w:color w:val="000000" w:themeColor="text1"/>
              </w:rPr>
              <w:t>.0</w:t>
            </w:r>
            <w:r>
              <w:rPr>
                <w:rFonts w:ascii="Times New Roman" w:eastAsia="Times New Roman" w:hAnsi="Times New Roman"/>
                <w:b/>
                <w:bCs/>
                <w:color w:val="000000" w:themeColor="text1"/>
              </w:rPr>
              <w:t>2</w:t>
            </w:r>
            <w:r w:rsidR="00346873" w:rsidRPr="4742A802">
              <w:rPr>
                <w:rFonts w:ascii="Times New Roman" w:eastAsia="Times New Roman" w:hAnsi="Times New Roman"/>
                <w:b/>
                <w:bCs/>
                <w:color w:val="000000" w:themeColor="text1"/>
              </w:rPr>
              <w:t>.202</w:t>
            </w:r>
            <w:r w:rsidR="00326842">
              <w:rPr>
                <w:rFonts w:ascii="Times New Roman" w:eastAsia="Times New Roman" w:hAnsi="Times New Roman"/>
                <w:b/>
                <w:bCs/>
                <w:color w:val="000000" w:themeColor="text1"/>
              </w:rPr>
              <w:t>6</w:t>
            </w:r>
          </w:p>
        </w:tc>
      </w:tr>
      <w:tr w:rsidR="00C515BD" w14:paraId="68A032C5" w14:textId="77777777" w:rsidTr="00AB7A86">
        <w:trPr>
          <w:trHeight w:val="19"/>
          <w:jc w:val="center"/>
        </w:trPr>
        <w:tc>
          <w:tcPr>
            <w:tcW w:w="5757" w:type="dxa"/>
            <w:gridSpan w:val="3"/>
            <w:vAlign w:val="center"/>
          </w:tcPr>
          <w:p w14:paraId="459F445A" w14:textId="77777777" w:rsidR="00C515BD" w:rsidRDefault="00C515BD">
            <w:pPr>
              <w:pBdr>
                <w:top w:val="nil"/>
                <w:left w:val="nil"/>
                <w:bottom w:val="nil"/>
                <w:right w:val="nil"/>
                <w:between w:val="nil"/>
              </w:pBdr>
              <w:spacing w:line="360" w:lineRule="auto"/>
              <w:jc w:val="center"/>
              <w:rPr>
                <w:rFonts w:ascii="Times New Roman" w:eastAsia="Times New Roman" w:hAnsi="Times New Roman"/>
                <w:color w:val="000000"/>
              </w:rPr>
            </w:pPr>
            <w:r>
              <w:rPr>
                <w:rFonts w:ascii="Times New Roman" w:eastAsia="Times New Roman" w:hAnsi="Times New Roman"/>
                <w:b/>
                <w:color w:val="000000"/>
              </w:rPr>
              <w:t>YAPILANLAR</w:t>
            </w:r>
          </w:p>
        </w:tc>
        <w:tc>
          <w:tcPr>
            <w:tcW w:w="3303" w:type="dxa"/>
            <w:gridSpan w:val="2"/>
          </w:tcPr>
          <w:p w14:paraId="5866538D" w14:textId="6817FBC8" w:rsidR="00C515BD" w:rsidRDefault="00C515BD">
            <w:pPr>
              <w:pBdr>
                <w:top w:val="nil"/>
                <w:left w:val="nil"/>
                <w:bottom w:val="nil"/>
                <w:right w:val="nil"/>
                <w:between w:val="nil"/>
              </w:pBdr>
              <w:spacing w:line="360" w:lineRule="auto"/>
              <w:jc w:val="center"/>
              <w:rPr>
                <w:rFonts w:ascii="Times New Roman" w:eastAsia="Times New Roman" w:hAnsi="Times New Roman"/>
                <w:b/>
                <w:color w:val="000000"/>
              </w:rPr>
            </w:pPr>
            <w:r>
              <w:rPr>
                <w:rFonts w:ascii="Times New Roman" w:eastAsia="Times New Roman" w:hAnsi="Times New Roman"/>
                <w:b/>
                <w:color w:val="000000"/>
              </w:rPr>
              <w:t>KOMİSYON ÜYELERİ</w:t>
            </w:r>
          </w:p>
        </w:tc>
      </w:tr>
      <w:tr w:rsidR="00C515BD" w:rsidRPr="003362D5" w14:paraId="1704DE04" w14:textId="77777777" w:rsidTr="009C6D32">
        <w:trPr>
          <w:trHeight w:val="558"/>
          <w:jc w:val="center"/>
        </w:trPr>
        <w:tc>
          <w:tcPr>
            <w:tcW w:w="396" w:type="dxa"/>
            <w:vAlign w:val="center"/>
          </w:tcPr>
          <w:p w14:paraId="64C894A5" w14:textId="77777777" w:rsidR="00C515BD" w:rsidRPr="003362D5" w:rsidRDefault="00C515BD">
            <w:pPr>
              <w:pBdr>
                <w:top w:val="nil"/>
                <w:left w:val="nil"/>
                <w:bottom w:val="nil"/>
                <w:right w:val="nil"/>
                <w:between w:val="nil"/>
              </w:pBdr>
              <w:spacing w:line="360" w:lineRule="auto"/>
              <w:rPr>
                <w:rFonts w:ascii="Times New Roman" w:eastAsia="Times New Roman" w:hAnsi="Times New Roman"/>
                <w:b/>
                <w:color w:val="000000"/>
              </w:rPr>
            </w:pPr>
            <w:r w:rsidRPr="003362D5">
              <w:rPr>
                <w:rFonts w:ascii="Times New Roman" w:eastAsia="Times New Roman" w:hAnsi="Times New Roman"/>
                <w:b/>
                <w:color w:val="000000"/>
              </w:rPr>
              <w:t>1.</w:t>
            </w:r>
          </w:p>
        </w:tc>
        <w:tc>
          <w:tcPr>
            <w:tcW w:w="5361" w:type="dxa"/>
            <w:gridSpan w:val="2"/>
            <w:vAlign w:val="center"/>
          </w:tcPr>
          <w:p w14:paraId="7DFB590D" w14:textId="3A63345E" w:rsidR="00C515BD" w:rsidRPr="003362D5" w:rsidRDefault="00C515BD" w:rsidP="00891304">
            <w:pPr>
              <w:pBdr>
                <w:top w:val="nil"/>
                <w:left w:val="nil"/>
                <w:bottom w:val="nil"/>
                <w:right w:val="nil"/>
                <w:between w:val="nil"/>
              </w:pBdr>
              <w:spacing w:line="360" w:lineRule="auto"/>
              <w:jc w:val="both"/>
              <w:rPr>
                <w:rFonts w:ascii="Times New Roman" w:eastAsia="Times New Roman" w:hAnsi="Times New Roman"/>
                <w:color w:val="000000"/>
              </w:rPr>
            </w:pPr>
            <w:r w:rsidRPr="00453C9D">
              <w:rPr>
                <w:rFonts w:ascii="Times New Roman" w:eastAsia="Times New Roman" w:hAnsi="Times New Roman"/>
                <w:color w:val="000000"/>
              </w:rPr>
              <w:t xml:space="preserve">Hemşirelik Bölümü </w:t>
            </w:r>
            <w:r>
              <w:rPr>
                <w:rFonts w:ascii="Times New Roman" w:eastAsia="Times New Roman" w:hAnsi="Times New Roman"/>
                <w:color w:val="000000"/>
              </w:rPr>
              <w:t>Program Değerlendirme ve İzleme Komisyonu</w:t>
            </w:r>
            <w:r w:rsidRPr="00453C9D">
              <w:rPr>
                <w:rFonts w:ascii="Times New Roman" w:eastAsia="Times New Roman" w:hAnsi="Times New Roman"/>
                <w:color w:val="000000"/>
              </w:rPr>
              <w:t xml:space="preserve"> tarafından </w:t>
            </w:r>
            <w:r>
              <w:rPr>
                <w:rFonts w:ascii="Times New Roman" w:eastAsia="Times New Roman" w:hAnsi="Times New Roman"/>
                <w:color w:val="000000"/>
              </w:rPr>
              <w:t xml:space="preserve">“Ders Değerlendirme Anketleri Raporu”, 2025-2026 Eğitim-Öğretim yılı </w:t>
            </w:r>
            <w:r w:rsidR="005D38F5">
              <w:rPr>
                <w:rFonts w:ascii="Times New Roman" w:eastAsia="Times New Roman" w:hAnsi="Times New Roman"/>
                <w:color w:val="000000"/>
              </w:rPr>
              <w:t>güz</w:t>
            </w:r>
            <w:r>
              <w:rPr>
                <w:rFonts w:ascii="Times New Roman" w:eastAsia="Times New Roman" w:hAnsi="Times New Roman"/>
                <w:color w:val="000000"/>
              </w:rPr>
              <w:t xml:space="preserve"> dönemi dersleri için gelen raporlar incelenerek oluşturulmuştur.</w:t>
            </w:r>
          </w:p>
        </w:tc>
        <w:tc>
          <w:tcPr>
            <w:tcW w:w="3303" w:type="dxa"/>
            <w:gridSpan w:val="2"/>
            <w:vMerge w:val="restart"/>
          </w:tcPr>
          <w:p w14:paraId="69B8F3FE"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Dr. Öğr. Üyesi Zeynep ARABACI</w:t>
            </w:r>
          </w:p>
          <w:p w14:paraId="77754CFC"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Doç. Dr. Havva KAÇAN</w:t>
            </w:r>
          </w:p>
          <w:p w14:paraId="6A174718"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Doç. Dr. Filiz ÖZEL ÇAKIR</w:t>
            </w:r>
          </w:p>
          <w:p w14:paraId="1A0F651F"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Doç. Dr. Selda KARAVELİ ÇAKIR</w:t>
            </w:r>
          </w:p>
          <w:p w14:paraId="5BA72456"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 xml:space="preserve">Doç. Dr. </w:t>
            </w:r>
            <w:proofErr w:type="spellStart"/>
            <w:r w:rsidRPr="00336883">
              <w:rPr>
                <w:rFonts w:ascii="Times New Roman" w:eastAsia="Times New Roman" w:hAnsi="Times New Roman"/>
                <w:color w:val="000000"/>
              </w:rPr>
              <w:t>Mahinur</w:t>
            </w:r>
            <w:proofErr w:type="spellEnd"/>
            <w:r w:rsidRPr="00336883">
              <w:rPr>
                <w:rFonts w:ascii="Times New Roman" w:eastAsia="Times New Roman" w:hAnsi="Times New Roman"/>
                <w:color w:val="000000"/>
              </w:rPr>
              <w:t xml:space="preserve"> DURMUŞ</w:t>
            </w:r>
          </w:p>
          <w:p w14:paraId="3629DB6C"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Dr. Öğr. Üyesi Gülşen ULAŞ KARAAHMETOĞLU</w:t>
            </w:r>
          </w:p>
          <w:p w14:paraId="7ED39273"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Dr. Öğr. Üyesi Esra ERTEMÜR</w:t>
            </w:r>
          </w:p>
          <w:p w14:paraId="15A64C47"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Dr. Öğr. Üyesi Münevver Aybüke ÇIKRIK</w:t>
            </w:r>
          </w:p>
          <w:p w14:paraId="27C8F512"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proofErr w:type="spellStart"/>
            <w:r w:rsidRPr="00336883">
              <w:rPr>
                <w:rFonts w:ascii="Times New Roman" w:eastAsia="Times New Roman" w:hAnsi="Times New Roman"/>
                <w:color w:val="000000"/>
              </w:rPr>
              <w:t>Dr.Öğr.Üyesi</w:t>
            </w:r>
            <w:proofErr w:type="spellEnd"/>
            <w:r w:rsidRPr="00336883">
              <w:rPr>
                <w:rFonts w:ascii="Times New Roman" w:eastAsia="Times New Roman" w:hAnsi="Times New Roman"/>
                <w:color w:val="000000"/>
              </w:rPr>
              <w:t xml:space="preserve"> Erdal KURTOĞLU</w:t>
            </w:r>
          </w:p>
          <w:p w14:paraId="636E6CA2"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Dr. Öğr. Üyesi Gamze KAŞ ALAY</w:t>
            </w:r>
          </w:p>
          <w:p w14:paraId="1E4A6C6E"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Arş. Gör. Semanur ÇELİK DEMİRYÜREK</w:t>
            </w:r>
          </w:p>
          <w:p w14:paraId="282E68D1"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Arş. Gör. Sabri Okan DEMİRYÜREK</w:t>
            </w:r>
          </w:p>
          <w:p w14:paraId="1777DDE3"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Arş. Gör. Şevval YEYİT BOZDEMİR</w:t>
            </w:r>
          </w:p>
          <w:p w14:paraId="6C881DA3" w14:textId="77777777" w:rsidR="00C515BD" w:rsidRPr="00336883" w:rsidRDefault="00C515BD" w:rsidP="00336883">
            <w:pPr>
              <w:shd w:val="clear" w:color="auto" w:fill="FFFFFF"/>
              <w:spacing w:after="100" w:afterAutospacing="1"/>
              <w:outlineLvl w:val="2"/>
              <w:rPr>
                <w:rFonts w:ascii="Times New Roman" w:eastAsia="Times New Roman" w:hAnsi="Times New Roman"/>
                <w:color w:val="000000"/>
              </w:rPr>
            </w:pPr>
            <w:r w:rsidRPr="00336883">
              <w:rPr>
                <w:rFonts w:ascii="Times New Roman" w:eastAsia="Times New Roman" w:hAnsi="Times New Roman"/>
                <w:color w:val="000000"/>
              </w:rPr>
              <w:t>Öğrenci Merve Hatice USTU</w:t>
            </w:r>
          </w:p>
          <w:p w14:paraId="5BA65482" w14:textId="77777777" w:rsidR="00C515BD" w:rsidRPr="003362D5" w:rsidRDefault="00C515BD">
            <w:pPr>
              <w:pBdr>
                <w:top w:val="nil"/>
                <w:left w:val="nil"/>
                <w:bottom w:val="nil"/>
                <w:right w:val="nil"/>
                <w:between w:val="nil"/>
              </w:pBdr>
              <w:spacing w:line="360" w:lineRule="auto"/>
              <w:rPr>
                <w:rFonts w:ascii="Times New Roman" w:eastAsia="Times New Roman" w:hAnsi="Times New Roman"/>
                <w:color w:val="000000"/>
              </w:rPr>
            </w:pPr>
          </w:p>
        </w:tc>
      </w:tr>
      <w:tr w:rsidR="00C515BD" w:rsidRPr="003362D5" w14:paraId="412CA591" w14:textId="77777777" w:rsidTr="009C6D32">
        <w:trPr>
          <w:trHeight w:val="558"/>
          <w:jc w:val="center"/>
        </w:trPr>
        <w:tc>
          <w:tcPr>
            <w:tcW w:w="396" w:type="dxa"/>
            <w:vAlign w:val="center"/>
          </w:tcPr>
          <w:p w14:paraId="30C5EA50" w14:textId="77777777" w:rsidR="00C515BD" w:rsidRPr="003362D5" w:rsidRDefault="00C515BD">
            <w:pPr>
              <w:pBdr>
                <w:top w:val="nil"/>
                <w:left w:val="nil"/>
                <w:bottom w:val="nil"/>
                <w:right w:val="nil"/>
                <w:between w:val="nil"/>
              </w:pBdr>
              <w:spacing w:line="360" w:lineRule="auto"/>
              <w:rPr>
                <w:rFonts w:ascii="Times New Roman" w:eastAsia="Times New Roman" w:hAnsi="Times New Roman"/>
                <w:b/>
                <w:color w:val="000000"/>
              </w:rPr>
            </w:pPr>
            <w:r w:rsidRPr="003362D5">
              <w:rPr>
                <w:rFonts w:ascii="Times New Roman" w:eastAsia="Times New Roman" w:hAnsi="Times New Roman"/>
                <w:b/>
                <w:color w:val="000000"/>
              </w:rPr>
              <w:t>2.</w:t>
            </w:r>
          </w:p>
        </w:tc>
        <w:tc>
          <w:tcPr>
            <w:tcW w:w="5361" w:type="dxa"/>
            <w:gridSpan w:val="2"/>
            <w:vAlign w:val="center"/>
          </w:tcPr>
          <w:p w14:paraId="33BAD502" w14:textId="79BF4B7B" w:rsidR="00C515BD" w:rsidRPr="003362D5" w:rsidRDefault="00C515BD" w:rsidP="00453C9D">
            <w:pPr>
              <w:pBdr>
                <w:top w:val="nil"/>
                <w:left w:val="nil"/>
                <w:bottom w:val="nil"/>
                <w:right w:val="nil"/>
                <w:between w:val="nil"/>
              </w:pBdr>
              <w:spacing w:line="360" w:lineRule="auto"/>
              <w:jc w:val="both"/>
              <w:rPr>
                <w:rFonts w:ascii="Times New Roman" w:eastAsia="Times New Roman" w:hAnsi="Times New Roman"/>
                <w:color w:val="000000"/>
              </w:rPr>
            </w:pPr>
            <w:r w:rsidRPr="00891304">
              <w:rPr>
                <w:rFonts w:ascii="Times New Roman" w:eastAsia="Times New Roman" w:hAnsi="Times New Roman"/>
                <w:color w:val="000000"/>
              </w:rPr>
              <w:t>Yapılan değerlendirme sonucunda elde edilen somut bulgular ve eylem planı önerileri konsolide bir rapor haline getirilmiş olup; eğitim programının güçlü yönlerinin sürdürülmesi, geliştirmeye açık alanlara yönelik iyileştirme stratejilerinin belirlenmesi ve bölümde yürütülen kalite güvence ile akreditasyon çalışmalarına katkı sağlanması amacıyla hazırlanan "Ders Değerlendirme Konsolide Sonuç Raporu" ekte yer almaktadır.</w:t>
            </w:r>
          </w:p>
        </w:tc>
        <w:tc>
          <w:tcPr>
            <w:tcW w:w="3303" w:type="dxa"/>
            <w:gridSpan w:val="2"/>
            <w:vMerge/>
          </w:tcPr>
          <w:p w14:paraId="56B6E2EE" w14:textId="77777777" w:rsidR="00C515BD" w:rsidRPr="003362D5" w:rsidRDefault="00C515BD">
            <w:pPr>
              <w:widowControl w:val="0"/>
              <w:pBdr>
                <w:top w:val="nil"/>
                <w:left w:val="nil"/>
                <w:bottom w:val="nil"/>
                <w:right w:val="nil"/>
                <w:between w:val="nil"/>
              </w:pBdr>
              <w:spacing w:line="276" w:lineRule="auto"/>
              <w:rPr>
                <w:rFonts w:ascii="Times New Roman" w:eastAsia="Times New Roman" w:hAnsi="Times New Roman"/>
                <w:color w:val="000000"/>
              </w:rPr>
            </w:pPr>
          </w:p>
        </w:tc>
      </w:tr>
    </w:tbl>
    <w:p w14:paraId="68D89519" w14:textId="77777777" w:rsidR="003644D5" w:rsidRDefault="003644D5"/>
    <w:p w14:paraId="528DE751" w14:textId="59923E21" w:rsidR="00ED0202" w:rsidRPr="003362D5" w:rsidRDefault="00000000" w:rsidP="00326842">
      <w:pPr>
        <w:jc w:val="both"/>
        <w:rPr>
          <w:rFonts w:ascii="Times New Roman" w:eastAsia="Times New Roman" w:hAnsi="Times New Roman"/>
          <w:color w:val="202124"/>
          <w:sz w:val="24"/>
          <w:szCs w:val="24"/>
        </w:rPr>
      </w:pPr>
      <w:r w:rsidRPr="00326842">
        <w:rPr>
          <w:rFonts w:ascii="Times New Roman" w:eastAsia="Times New Roman" w:hAnsi="Times New Roman"/>
          <w:sz w:val="24"/>
          <w:szCs w:val="24"/>
        </w:rPr>
        <w:lastRenderedPageBreak/>
        <w:t>EK-1</w:t>
      </w:r>
      <w:r w:rsidRPr="00ED0202">
        <w:rPr>
          <w:rFonts w:ascii="Times New Roman" w:eastAsia="Times New Roman" w:hAnsi="Times New Roman"/>
          <w:sz w:val="24"/>
          <w:szCs w:val="24"/>
        </w:rPr>
        <w:t xml:space="preserve">- </w:t>
      </w:r>
      <w:r w:rsidR="00ED0202" w:rsidRPr="00ED0202">
        <w:rPr>
          <w:rFonts w:ascii="Times New Roman" w:eastAsia="Times New Roman" w:hAnsi="Times New Roman"/>
          <w:color w:val="202124"/>
          <w:sz w:val="24"/>
          <w:szCs w:val="24"/>
          <w:highlight w:val="white"/>
        </w:rPr>
        <w:t xml:space="preserve">Kastamonu </w:t>
      </w:r>
      <w:r w:rsidR="00ED0202" w:rsidRPr="00DA266B">
        <w:rPr>
          <w:rFonts w:ascii="Times New Roman" w:eastAsia="Times New Roman" w:hAnsi="Times New Roman"/>
          <w:color w:val="202124"/>
          <w:sz w:val="24"/>
          <w:szCs w:val="24"/>
          <w:highlight w:val="white"/>
        </w:rPr>
        <w:t xml:space="preserve">Üniversitesi Sağlık Bilimleri Fakültesi Hemşirelik Bölümü </w:t>
      </w:r>
      <w:r w:rsidR="005D38F5">
        <w:rPr>
          <w:rFonts w:ascii="Times New Roman" w:eastAsia="Times New Roman" w:hAnsi="Times New Roman"/>
          <w:color w:val="202124"/>
          <w:sz w:val="24"/>
          <w:szCs w:val="24"/>
        </w:rPr>
        <w:t xml:space="preserve">2025-2026 Güz Dönemi </w:t>
      </w:r>
      <w:r w:rsidR="00891304">
        <w:rPr>
          <w:rFonts w:ascii="Times New Roman" w:eastAsia="Times New Roman" w:hAnsi="Times New Roman"/>
          <w:color w:val="000000"/>
          <w:sz w:val="24"/>
          <w:szCs w:val="24"/>
        </w:rPr>
        <w:t>Ders Değerlendirme Anketleri Raporu</w:t>
      </w:r>
    </w:p>
    <w:p w14:paraId="7484215A" w14:textId="63551830" w:rsidR="003644D5" w:rsidRPr="00326842" w:rsidRDefault="00000000" w:rsidP="00326842">
      <w:pPr>
        <w:jc w:val="both"/>
        <w:rPr>
          <w:rFonts w:ascii="Times New Roman" w:eastAsia="Times New Roman" w:hAnsi="Times New Roman"/>
          <w:b/>
          <w:color w:val="202124"/>
          <w:sz w:val="24"/>
          <w:szCs w:val="24"/>
          <w:highlight w:val="white"/>
        </w:rPr>
      </w:pPr>
      <w:r w:rsidRPr="00326842">
        <w:rPr>
          <w:rFonts w:ascii="Times New Roman" w:eastAsia="Times New Roman" w:hAnsi="Times New Roman"/>
          <w:b/>
          <w:color w:val="202124"/>
          <w:sz w:val="24"/>
          <w:szCs w:val="24"/>
          <w:highlight w:val="white"/>
        </w:rPr>
        <w:t>EK-1</w:t>
      </w:r>
    </w:p>
    <w:p w14:paraId="4D3CBA55" w14:textId="77777777" w:rsidR="005D38F5" w:rsidRDefault="005D38F5" w:rsidP="00891304">
      <w:pPr>
        <w:jc w:val="both"/>
        <w:rPr>
          <w:rFonts w:ascii="Times New Roman" w:eastAsia="Times New Roman" w:hAnsi="Times New Roman"/>
          <w:b/>
          <w:color w:val="202124"/>
          <w:sz w:val="24"/>
          <w:szCs w:val="24"/>
        </w:rPr>
      </w:pPr>
      <w:r w:rsidRPr="005D38F5">
        <w:rPr>
          <w:rFonts w:ascii="Times New Roman" w:eastAsia="Times New Roman" w:hAnsi="Times New Roman"/>
          <w:b/>
          <w:color w:val="202124"/>
          <w:sz w:val="24"/>
          <w:szCs w:val="24"/>
        </w:rPr>
        <w:t>Kastamonu Üniversitesi Sağlık Bilimleri Fakültesi Hemşirelik Bölümü 2025-2026 Güz Dönemi Ders Değerlendirme Anketleri Raporu</w:t>
      </w:r>
    </w:p>
    <w:p w14:paraId="30D5D9A2" w14:textId="77777777" w:rsidR="005D38F5" w:rsidRDefault="005D38F5" w:rsidP="00891304">
      <w:pPr>
        <w:jc w:val="both"/>
        <w:rPr>
          <w:rFonts w:ascii="Times New Roman" w:hAnsi="Times New Roman"/>
          <w:sz w:val="24"/>
          <w:szCs w:val="24"/>
        </w:rPr>
      </w:pPr>
      <w:r w:rsidRPr="005D38F5">
        <w:rPr>
          <w:rFonts w:ascii="Times New Roman" w:hAnsi="Times New Roman"/>
          <w:sz w:val="24"/>
          <w:szCs w:val="24"/>
        </w:rPr>
        <w:t>Bu rapor, Kastamonu Üniversitesi Sağlık Bilimleri Fakültesi Hemşirelik Bölümü 2025-2026 Eğitim-Öğretim Yılı Güz Döneminde yürütülen derslere ilişkin öğrenci ders değerlendirme anketlerinden elde edilen bulguların bütüncül olarak değerlendirilmesi amacıyla hazırlanmıştır. Derslere ilişkin bireysel anket sonuçları; ders içeriği ve programla uyum, öğretim süreci, öğrenci katılımı, öğretim elemanı değerlendirmesi, ölçme ve değerlendirme, mesleki katkı, genel yararlanma ve AKTS/iş yükü boyutları açısından incelenmiştir. Elde edilen bulgular doğrultusunda programın güçlü yönleri ile geliştirmeye açık alanları belirlenmiş ve iyileştirme önerileri oluşturulmuştur.</w:t>
      </w:r>
    </w:p>
    <w:p w14:paraId="2D2547FC" w14:textId="7409A397" w:rsidR="00891304" w:rsidRPr="00891304" w:rsidRDefault="00891304" w:rsidP="00891304">
      <w:pPr>
        <w:jc w:val="both"/>
        <w:rPr>
          <w:rFonts w:ascii="Times New Roman" w:hAnsi="Times New Roman"/>
          <w:b/>
          <w:bCs/>
          <w:sz w:val="24"/>
          <w:szCs w:val="24"/>
        </w:rPr>
      </w:pPr>
      <w:r w:rsidRPr="00891304">
        <w:rPr>
          <w:rFonts w:ascii="Times New Roman" w:hAnsi="Times New Roman"/>
          <w:b/>
          <w:bCs/>
          <w:sz w:val="24"/>
          <w:szCs w:val="24"/>
        </w:rPr>
        <w:t>1. Genel Kurumsal Tablo ve Memnuniyet Düzeyi</w:t>
      </w:r>
    </w:p>
    <w:p w14:paraId="66850A57"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xml:space="preserve">2025-2026 Güz Dönemi ders değerlendirme anket sonuçları genel olarak incelendiğinde, Hemşirelik Bölümünde yürütülen derslerin öğrenciler tarafından olumlu düzeyde değerlendirildiği görülmektedir. Derslere ilişkin değerlendirmelerde ortalamaların genel olarak orta-yüksek ve yüksek düzeyde olduğu, öğrencilerin derslerin içerik, yürütülme biçimi ve öğretim elemanı performansına ilişkin çoğunlukla olumlu görüş bildirdiği belirlenmiştir. Farklı derslere ilişkin bireysel raporlarda da derslerin genel olarak olumlu değerlendirildiği ve birçok değerlendirme maddesinde 4,00 ve üzerindeki puanlara ulaşıldığı görülmektedir. </w:t>
      </w:r>
    </w:p>
    <w:p w14:paraId="18EA946F"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xml:space="preserve">Derslerin içerik, kapsam ve amaçlarının dönem başında açıklanması, program öğrenme çıktılarıyla uyumu, derslerin belirlenen haftalık program doğrultusunda yürütülmesi ve öğretim elemanlarının derslere hazırlıklı gelmesi, genel olarak olumlu değerlendirilen alanlar arasındadır. Öğrenci değerlendirmelerinde dersin programla ve öğrenme çıktılarıyla ilişkisinin güçlü olduğu görülmektedir. </w:t>
      </w:r>
    </w:p>
    <w:p w14:paraId="7A4D1E38"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Bununla birlikte, ders değerlendirme sonuçları arasında belirli ölçüde farklılıklar bulunması, bölüm genelindeki olumlu tablonun yanında öğrenci katılımı, öğretim teknolojilerinin kullanımı, ders materyallerinin çeşitliliği, sınav sonrası geri bildirim ve AKTS/iş yükü gibi alanların izlenmeye devam edilmesinin gerekli olduğunu göstermektedir.</w:t>
      </w:r>
    </w:p>
    <w:p w14:paraId="5DAF93DB" w14:textId="365752B7" w:rsidR="00891304" w:rsidRPr="00891304" w:rsidRDefault="00891304" w:rsidP="005D38F5">
      <w:pPr>
        <w:jc w:val="both"/>
        <w:rPr>
          <w:rFonts w:ascii="Times New Roman" w:hAnsi="Times New Roman"/>
          <w:b/>
          <w:bCs/>
          <w:sz w:val="24"/>
          <w:szCs w:val="24"/>
        </w:rPr>
      </w:pPr>
      <w:r w:rsidRPr="00891304">
        <w:rPr>
          <w:rFonts w:ascii="Times New Roman" w:hAnsi="Times New Roman"/>
          <w:b/>
          <w:bCs/>
          <w:sz w:val="24"/>
          <w:szCs w:val="24"/>
        </w:rPr>
        <w:t>2. Somut Verilere Dayalı Güçlü Yönlerimiz</w:t>
      </w:r>
    </w:p>
    <w:p w14:paraId="519CEE08" w14:textId="182A5017"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Derslerin Program ve Öğrenme Çıktılarıyla Uyumu</w:t>
      </w:r>
    </w:p>
    <w:p w14:paraId="0A4E64A7" w14:textId="039221E0"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xml:space="preserve">Öğrenci değerlendirmelerinde derslerin programın kapsamına ve ilgili öğrenme çıktılarıyla ilişkisine yönelik görüşlerin genel olarak olumlu olduğu görülmektedir. Ders içeriklerinin </w:t>
      </w:r>
      <w:r w:rsidRPr="005D38F5">
        <w:rPr>
          <w:rFonts w:ascii="Times New Roman" w:hAnsi="Times New Roman"/>
          <w:sz w:val="24"/>
          <w:szCs w:val="24"/>
        </w:rPr>
        <w:lastRenderedPageBreak/>
        <w:t>dönem başında açıklanması, derslerin amaç ve hedefleriyle uyumlu yürütülmesi ve 14 haftalık dönem için uygun içerik sunulması bölüm genelinde güçlü alanlar olarak öne çıkmaktadır.</w:t>
      </w:r>
    </w:p>
    <w:p w14:paraId="253F0D8E" w14:textId="6C974DD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Bu durum, derslerin yalnızca içerik aktarımı açısından değil, programın genel amaçları ve öğrenme çıktıları doğrultusunda yapılandırılmış biçimde yürütüldüğünü göstermektedir.</w:t>
      </w:r>
    </w:p>
    <w:p w14:paraId="01E5C2EB" w14:textId="04A29769"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Öğretim Elemanlarının Ders Yürütme Yeterlilikleri</w:t>
      </w:r>
    </w:p>
    <w:p w14:paraId="7183C670" w14:textId="514CA6AA"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Ders değerlendirme sonuçlarında öğretim elemanlarının derse hazırlıklı gelmesi, konuya hâkimiyeti, öğrenci düzeyine uygun öğretim gerçekleştirmesi, öğrencilerle iletişim kurması ve öğrencilere karşı olumlu-yapıcı tutum sergilemesi belirgin güçlü alanlar olarak ortaya çıkmaktadır.</w:t>
      </w:r>
    </w:p>
    <w:p w14:paraId="03218858" w14:textId="7193E1DC"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Farklı derslere ilişkin raporlar da öğretim elemanlarına yönelik değerlendirmelerin genel olarak olumlu olduğunu desteklemektedir. Öğrencilerin öğretim elemanlarına dersle ilgili konularda ulaşabildiğine ilişkin değerlendirmeler de yüksek düzeydedir.</w:t>
      </w:r>
    </w:p>
    <w:p w14:paraId="76F9685B" w14:textId="56AACD54"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Bu sonuçlar, bölümde öğretim elemanı-öğrenci iletişiminin ve öğretim sürecindeki akademik rehberliğin güçlü bir yön olduğunu göstermektedir.</w:t>
      </w:r>
    </w:p>
    <w:p w14:paraId="0BE13778" w14:textId="2DB36808"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Ölçme ve Değerlendirme Süreçlerinin Genel Olarak Olumlu Değerlendirilmesi</w:t>
      </w:r>
    </w:p>
    <w:p w14:paraId="5A19B04A"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Öğrencilerin sınav sorularının ders içeriğiyle uyumu, sınav sürelerinin yeterliliği, farklı ölçme ve değerlendirme yöntemlerinin kullanılması ve değerlendirmede adalet gibi konularda genel olarak olumlu görüş bildirdikleri görülmektedir.</w:t>
      </w:r>
    </w:p>
    <w:p w14:paraId="268CDB7B" w14:textId="77777777" w:rsidR="005D38F5" w:rsidRPr="005D38F5" w:rsidRDefault="005D38F5" w:rsidP="005D38F5">
      <w:pPr>
        <w:jc w:val="both"/>
        <w:rPr>
          <w:rFonts w:ascii="Times New Roman" w:hAnsi="Times New Roman"/>
          <w:sz w:val="24"/>
          <w:szCs w:val="24"/>
        </w:rPr>
      </w:pPr>
    </w:p>
    <w:p w14:paraId="3C1F9EC8" w14:textId="2A3567C5"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Özellikle farklı ölçme ve değerlendirme tekniklerinin kullanılmasına ilişkin bazı derslerde yüksek değerlendirmeler elde edilmesi, bölümde tek bir değerlendirme yöntemine bağlı kalınmadan farklı ölçme araçlarının kullanılabildiğini göstermektedir.</w:t>
      </w:r>
    </w:p>
    <w:p w14:paraId="436750E7" w14:textId="682D3ACB"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Derslerin Öğrenciye ve Mesleki Gelişime Katkısı</w:t>
      </w:r>
    </w:p>
    <w:p w14:paraId="6A9BBF7F" w14:textId="5DDACB3A"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Öğrencilerin derslerden genel olarak yararlandıkları ve dersleri diğer öğrencilere tavsiye edebilecekleri yönündeki değerlendirmeleri olumlu düzeydedir. Derslerin gelecekteki meslek yaşamına katkısına ilişkin değerlendirmeler de genel olarak olumlu bir görünüm sergilemektedir.</w:t>
      </w:r>
    </w:p>
    <w:p w14:paraId="5720070A" w14:textId="740E6B09" w:rsidR="00891304" w:rsidRPr="005D38F5" w:rsidRDefault="005D38F5" w:rsidP="005D38F5">
      <w:pPr>
        <w:jc w:val="both"/>
        <w:rPr>
          <w:rFonts w:ascii="Times New Roman" w:hAnsi="Times New Roman"/>
          <w:sz w:val="24"/>
          <w:szCs w:val="24"/>
        </w:rPr>
      </w:pPr>
      <w:r w:rsidRPr="005D38F5">
        <w:rPr>
          <w:rFonts w:ascii="Times New Roman" w:hAnsi="Times New Roman"/>
          <w:sz w:val="24"/>
          <w:szCs w:val="24"/>
        </w:rPr>
        <w:t>Bu bulgu, öğrencilerin derslerin yalnızca akademik bilgi kazanımına değil, mesleki gelişimlerine de katkı sağladığını düşündüklerini göstermektedir.</w:t>
      </w:r>
      <w:r w:rsidR="00891304" w:rsidRPr="005D38F5">
        <w:rPr>
          <w:rFonts w:ascii="Times New Roman" w:hAnsi="Times New Roman"/>
          <w:sz w:val="24"/>
          <w:szCs w:val="24"/>
        </w:rPr>
        <w:t>3. Gelişime Açık Alanlar ve İyileştirme Gerekçeleri</w:t>
      </w:r>
    </w:p>
    <w:p w14:paraId="02BADCC2" w14:textId="77777777" w:rsidR="00891304" w:rsidRPr="00891304" w:rsidRDefault="00891304" w:rsidP="00891304">
      <w:pPr>
        <w:jc w:val="both"/>
        <w:rPr>
          <w:rFonts w:ascii="Times New Roman" w:hAnsi="Times New Roman"/>
          <w:sz w:val="24"/>
          <w:szCs w:val="24"/>
        </w:rPr>
      </w:pPr>
      <w:r w:rsidRPr="00891304">
        <w:rPr>
          <w:rFonts w:ascii="Times New Roman" w:hAnsi="Times New Roman"/>
          <w:sz w:val="24"/>
          <w:szCs w:val="24"/>
        </w:rPr>
        <w:t>Elde edilen sayısal veriler, program kalitesini artırmak için aşağıdaki konularda eylem planı oluşturulmasını zorunlu kılmaktadır:</w:t>
      </w:r>
    </w:p>
    <w:p w14:paraId="78414EA4" w14:textId="77777777"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lastRenderedPageBreak/>
        <w:t>3. Gelişime Açık Alanlar ve İyileştirme Gerekçeleri</w:t>
      </w:r>
    </w:p>
    <w:p w14:paraId="7C72EEF2"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Ders değerlendirme sonuçları genel olarak olumlu olmakla birlikte, bazı maddelerin diğer değerlendirme alanlarına göre daha düşük düzeyde kaldığı görülmektedir. Bu maddeler, bölümün mevcut güçlü yapısını sürdürürken iyileştirme çalışmalarının odaklanabileceği alanları göstermektedir.</w:t>
      </w:r>
    </w:p>
    <w:p w14:paraId="6045C667" w14:textId="77777777"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Öğrencilerin Aktif Katılımının Güçlendirilmesi</w:t>
      </w:r>
    </w:p>
    <w:p w14:paraId="6FD94D6F"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xml:space="preserve">Anket sonuçlarında öğrencilerin aktif katılımını sağlayan yöntem ve tekniklere ilişkin değerlendirmelerin, öğretim elemanının hazırlığı, ders hâkimiyeti ve öğrenciyle iletişimi gibi alanlara göre bazı durumlarda daha düşük olduğu görülmektedir. Örneğin farklı değerlendirme raporlarında aktif katılım maddesinin diğer maddelere kıyasla daha düşük puan aldığı belirtilmiştir. </w:t>
      </w:r>
    </w:p>
    <w:p w14:paraId="7E7C8A5D"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Bu nedenle derslerde vaka çalışması, problem çözme, küçük grup çalışmaları, tartışma, sunum, uygulama, soru-cevap ve etkileşimli dijital etkinlikler gibi öğrenciyi öğrenme sürecinin aktif bir parçası hâline getiren yöntemlerin daha sistematik kullanılması önerilmektedir.</w:t>
      </w:r>
    </w:p>
    <w:p w14:paraId="0AD5197C" w14:textId="77777777"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Ders Materyalleri ve Öğretim Teknolojilerinin Çeşitlendirilmesi</w:t>
      </w:r>
    </w:p>
    <w:p w14:paraId="2C3F5BBA"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xml:space="preserve">Derslere ilişkin değerlendirmelerde kaynak ve </w:t>
      </w:r>
      <w:proofErr w:type="gramStart"/>
      <w:r w:rsidRPr="005D38F5">
        <w:rPr>
          <w:rFonts w:ascii="Times New Roman" w:hAnsi="Times New Roman"/>
          <w:sz w:val="24"/>
          <w:szCs w:val="24"/>
        </w:rPr>
        <w:t>dokümanların</w:t>
      </w:r>
      <w:proofErr w:type="gramEnd"/>
      <w:r w:rsidRPr="005D38F5">
        <w:rPr>
          <w:rFonts w:ascii="Times New Roman" w:hAnsi="Times New Roman"/>
          <w:sz w:val="24"/>
          <w:szCs w:val="24"/>
        </w:rPr>
        <w:t xml:space="preserve"> genel olarak yeterli bulunduğu görülmekle birlikte, bazı değerlendirmelerde öğretim teknolojileri ve materyal çeşitliliğinin geliştirilmesine yönelik ihtiyaç dikkat çekmektedir. </w:t>
      </w:r>
    </w:p>
    <w:p w14:paraId="15AEB275"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Bu doğrultuda ders materyallerinin yalnızca geleneksel sunum ve dokümanlarla sınırlı kalmaması; uygun derslerde video, etkileşimli sunum, dijital içerik, vaka materyalleri, görsel materyaller ve çevrim içi öğrenme araçları ile desteklenmesi önerilmektedir.</w:t>
      </w:r>
    </w:p>
    <w:p w14:paraId="6A00FBB5"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Sınav Sonrası Geri Bildirim Sürecinin Güçlendirilmesi</w:t>
      </w:r>
    </w:p>
    <w:p w14:paraId="42C53A5A"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xml:space="preserve">Sınav sonrası sınav soruları ve yanıtlarına ilişkin bilgilendirme, genel olarak olumlu olmakla birlikte, bazı derslerde diğer ölçme-değerlendirme maddelerine göre daha düşük değerlendirilmiştir. Önceki konsolide değerlendirmelerde de bu alan, öğrencinin hatasını görmesini ve öğrenme eksikliklerini fark etmesini sağlayacak biçimlendirici değerlendirme açısından geliştirmeye açık alan olarak belirlenmiştir. </w:t>
      </w:r>
    </w:p>
    <w:p w14:paraId="235C623E"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Bu nedenle sınav sonuçlarının açıklanmasının yanı sıra, sınav soruları ve doğru yanıtların değerlendirilmesi, yaygın hata ve eksikliklerin açıklanması ve öğrencinin öğrenmesini destekleyecek geri bildirimlerin verilmesi konusunda daha sistematik uygulamalar geliştirilmesi önerilmektedir.</w:t>
      </w:r>
    </w:p>
    <w:p w14:paraId="2A31AC4E" w14:textId="77777777"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AKTS ve Öğrenci İş Yükünün İzlenmesi</w:t>
      </w:r>
    </w:p>
    <w:p w14:paraId="4EAC06A0"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lastRenderedPageBreak/>
        <w:t xml:space="preserve">AKTS ve iş yüküne ilişkin değerlendirmeler genel olarak olumlu olmakla birlikte, bazı derslerde bu alanın diğer maddelere göre daha düşük değerlendirildiği görülmektedir. Bazı raporlarda öğrencilerin ders kapsamında karşılaştıkları iş yükü ile tanımlanan AKTS iş yükünün tam olarak örtüşmediğine ilişkin değerlendirmeler bulunmaktadır. </w:t>
      </w:r>
    </w:p>
    <w:p w14:paraId="3886FD3F"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Bu nedenle özellikle öğrencilerin iş yükü açısından görece daha düşük değerlendirme yaptığı derslerde ders saati, ödev, uygulama, sınav ve ders dışı çalışma gerekliliklerinin birlikte ele alınarak AKTS iş yüküyle uyumunun izlenmesi önerilmektedir.</w:t>
      </w:r>
    </w:p>
    <w:p w14:paraId="2DAE1A8D" w14:textId="77777777" w:rsidR="005D38F5" w:rsidRPr="005D38F5" w:rsidRDefault="005D38F5" w:rsidP="005D38F5">
      <w:pPr>
        <w:jc w:val="both"/>
        <w:rPr>
          <w:rFonts w:ascii="Times New Roman" w:hAnsi="Times New Roman"/>
          <w:b/>
          <w:bCs/>
          <w:sz w:val="24"/>
          <w:szCs w:val="24"/>
        </w:rPr>
      </w:pPr>
      <w:r w:rsidRPr="005D38F5">
        <w:rPr>
          <w:rFonts w:ascii="Times New Roman" w:hAnsi="Times New Roman"/>
          <w:b/>
          <w:bCs/>
          <w:sz w:val="24"/>
          <w:szCs w:val="24"/>
        </w:rPr>
        <w:t>• Dersler ve Şubeler Arasındaki Farklılıkların İzlenmesi</w:t>
      </w:r>
    </w:p>
    <w:p w14:paraId="0B3D63B3"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 xml:space="preserve">Ders değerlendirme sonuçlarının genel olarak olumlu olmasına rağmen, aynı veya benzer nitelikteki değerlendirme maddelerinde dersler ve şubeler arasında farklı puanların ortaya çıktığı görülmektedir. Örneğin bazı derslerde değerlendirmeler yaklaşık 3,8 düzeyinden 4,2'nin üzerine kadar değişebilmektedir. </w:t>
      </w:r>
    </w:p>
    <w:p w14:paraId="0B326C9C" w14:textId="188C173C" w:rsidR="005D38F5" w:rsidRPr="005D38F5" w:rsidRDefault="005D38F5" w:rsidP="00891304">
      <w:pPr>
        <w:jc w:val="both"/>
        <w:rPr>
          <w:rFonts w:ascii="Times New Roman" w:hAnsi="Times New Roman"/>
          <w:sz w:val="24"/>
          <w:szCs w:val="24"/>
        </w:rPr>
      </w:pPr>
      <w:r w:rsidRPr="005D38F5">
        <w:rPr>
          <w:rFonts w:ascii="Times New Roman" w:hAnsi="Times New Roman"/>
          <w:sz w:val="24"/>
          <w:szCs w:val="24"/>
        </w:rPr>
        <w:t xml:space="preserve">Bu farklılıkların doğrudan bir performans sorunu olarak değerlendirilmesi yerine; öğrenci profili, sınıf büyüklüğü, dersin niteliği, öğretim yöntemi ve şube dinamikleri </w:t>
      </w:r>
      <w:proofErr w:type="gramStart"/>
      <w:r w:rsidRPr="005D38F5">
        <w:rPr>
          <w:rFonts w:ascii="Times New Roman" w:hAnsi="Times New Roman"/>
          <w:sz w:val="24"/>
          <w:szCs w:val="24"/>
        </w:rPr>
        <w:t>ile birlikte</w:t>
      </w:r>
      <w:proofErr w:type="gramEnd"/>
      <w:r w:rsidRPr="005D38F5">
        <w:rPr>
          <w:rFonts w:ascii="Times New Roman" w:hAnsi="Times New Roman"/>
          <w:sz w:val="24"/>
          <w:szCs w:val="24"/>
        </w:rPr>
        <w:t xml:space="preserve"> ele alınması uygun olacaktır. Bununla birlikte belirgin farklılıkların sonraki dönemlerde izlenmesi, sürekli iyileştirme açısından yararlı olacaktır.</w:t>
      </w:r>
    </w:p>
    <w:p w14:paraId="44B46618" w14:textId="026581D5" w:rsidR="00891304" w:rsidRPr="00891304" w:rsidRDefault="00891304" w:rsidP="00891304">
      <w:pPr>
        <w:jc w:val="both"/>
        <w:rPr>
          <w:rFonts w:ascii="Times New Roman" w:hAnsi="Times New Roman"/>
          <w:b/>
          <w:bCs/>
          <w:sz w:val="24"/>
          <w:szCs w:val="24"/>
        </w:rPr>
      </w:pPr>
      <w:r w:rsidRPr="00891304">
        <w:rPr>
          <w:rFonts w:ascii="Times New Roman" w:hAnsi="Times New Roman"/>
          <w:b/>
          <w:bCs/>
          <w:sz w:val="24"/>
          <w:szCs w:val="24"/>
        </w:rPr>
        <w:t>4. Komisyon Kararı ve Öncelikli Eylem Planı Önerileri</w:t>
      </w:r>
    </w:p>
    <w:p w14:paraId="027BFF04" w14:textId="14799E20"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Program kalitesinin sürdürülebilir biçimde geliştirilmesi amacıyla, 2025-2026 Güz Dönemi ders değerlendirme sonuçları doğrultusunda aşağıdaki iyileştirme faaliyetlerinin izlenmesi ve desteklenmesi komisyonumuzca önerilmektedir:</w:t>
      </w:r>
    </w:p>
    <w:p w14:paraId="69F2FC4A"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1. Aktif öğrenme yöntemlerinin yaygınlaştırılması:</w:t>
      </w:r>
    </w:p>
    <w:p w14:paraId="1CA9FBB5" w14:textId="45D19623"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Öğrencilerin aktif katılımına yönelik değerlendirmelerin güçlendirilmesi amacıyla derslerde etkileşimli ve öğrenci merkezli öğretim yöntemlerinin kullanımının artırılması.</w:t>
      </w:r>
    </w:p>
    <w:p w14:paraId="402A0501"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2. Ders materyallerinin çeşitlendirilmesi:</w:t>
      </w:r>
    </w:p>
    <w:p w14:paraId="7BA82A26" w14:textId="400974C6"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Derslerde kullanılan materyallerin dijital ve etkileşimli içeriklerle desteklenmesi; uygun derslerde görsel, işitsel ve uygulamaya dönük materyal kullanımının artırılması.</w:t>
      </w:r>
    </w:p>
    <w:p w14:paraId="7D65F640"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3. Sınav sonrası geri bildirim uygulamalarının güçlendirilmesi:</w:t>
      </w:r>
    </w:p>
    <w:p w14:paraId="13C7E51D" w14:textId="7B9B9AE4"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Öğrencilerin sınav soruları ve yanıtları hakkında bilgilendirilmesini sağlayacak yapılandırılmış geri bildirim uygulamalarının yaygınlaştırılması.</w:t>
      </w:r>
    </w:p>
    <w:p w14:paraId="76AD3F7B"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4. AKTS ve öğrenci iş yükünün izlenmesi:</w:t>
      </w:r>
    </w:p>
    <w:p w14:paraId="353551B2" w14:textId="1B9204AE"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Ders kapsamında öğrencilerden beklenen sınıf içi ve sınıf dışı çalışmaların AKTS iş yüküyle uyumunun düzenli olarak değerlendirilmesi.</w:t>
      </w:r>
    </w:p>
    <w:p w14:paraId="598BFB4B"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lastRenderedPageBreak/>
        <w:t>5. Şube ve ders bazlı farklılıkların izlenmesi:</w:t>
      </w:r>
    </w:p>
    <w:p w14:paraId="7656FEC9" w14:textId="4BCA57C2"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Anket sonuçlarında belirgin farklılık görülen alanların sonraki dönemlerde takip edilmesi ve gerekli görülen durumlarda nedenlerinin değerlendirilmesi.</w:t>
      </w:r>
    </w:p>
    <w:p w14:paraId="02795A36"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6. İyi uygulamaların paylaşılması:</w:t>
      </w:r>
    </w:p>
    <w:p w14:paraId="36F84DB4" w14:textId="7954A9F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Öğretim elemanlarının öğrenci iletişimi, ders planına uyum, ölçme-değerlendirme ve öğrenci katılımı açısından başarılı uygulamalarının bölüm içerisinde paylaşılması ve yaygınlaştırılması.</w:t>
      </w:r>
    </w:p>
    <w:p w14:paraId="6EC9C6E6" w14:textId="77777777" w:rsidR="005D38F5" w:rsidRPr="005D38F5" w:rsidRDefault="005D38F5" w:rsidP="005D38F5">
      <w:pPr>
        <w:jc w:val="both"/>
        <w:rPr>
          <w:rFonts w:ascii="Times New Roman" w:hAnsi="Times New Roman"/>
          <w:sz w:val="24"/>
          <w:szCs w:val="24"/>
        </w:rPr>
      </w:pPr>
      <w:r w:rsidRPr="005D38F5">
        <w:rPr>
          <w:rFonts w:ascii="Times New Roman" w:hAnsi="Times New Roman"/>
          <w:sz w:val="24"/>
          <w:szCs w:val="24"/>
        </w:rPr>
        <w:t>7. Öğrenci geri bildirimlerinin sürekli iyileştirme sürecine dahil edilmesi:</w:t>
      </w:r>
    </w:p>
    <w:p w14:paraId="3386B5C3" w14:textId="4DE05246" w:rsidR="00336883" w:rsidRDefault="005D38F5" w:rsidP="005D38F5">
      <w:pPr>
        <w:jc w:val="both"/>
        <w:rPr>
          <w:rFonts w:ascii="Times New Roman" w:hAnsi="Times New Roman"/>
          <w:sz w:val="24"/>
          <w:szCs w:val="24"/>
        </w:rPr>
      </w:pPr>
      <w:r w:rsidRPr="005D38F5">
        <w:rPr>
          <w:rFonts w:ascii="Times New Roman" w:hAnsi="Times New Roman"/>
          <w:sz w:val="24"/>
          <w:szCs w:val="24"/>
        </w:rPr>
        <w:t>Ders değerlendirme anketlerinin dönem sonunda yalnızca sonuçlandırılan bir değerlendirme aracı olarak değil, eğitim-öğretim süreçlerinin geliştirilmesine yönelik Planla-Uygula-Kontrol Et-Önlem Al (PUKÖ) döngüsünün bir parçası olarak kullanılması.</w:t>
      </w:r>
    </w:p>
    <w:p w14:paraId="2F4F7A3E" w14:textId="77777777" w:rsidR="005D38F5" w:rsidRPr="005D38F5" w:rsidRDefault="005D38F5" w:rsidP="005D38F5">
      <w:pPr>
        <w:jc w:val="both"/>
        <w:rPr>
          <w:rFonts w:ascii="Times New Roman" w:eastAsia="Times New Roman" w:hAnsi="Times New Roman"/>
          <w:b/>
          <w:bCs/>
          <w:color w:val="202124"/>
          <w:sz w:val="24"/>
          <w:szCs w:val="24"/>
        </w:rPr>
      </w:pPr>
      <w:r w:rsidRPr="005D38F5">
        <w:rPr>
          <w:rFonts w:ascii="Times New Roman" w:eastAsia="Times New Roman" w:hAnsi="Times New Roman"/>
          <w:b/>
          <w:bCs/>
          <w:color w:val="202124"/>
          <w:sz w:val="24"/>
          <w:szCs w:val="24"/>
        </w:rPr>
        <w:t>5. Sonuç</w:t>
      </w:r>
    </w:p>
    <w:p w14:paraId="17117012" w14:textId="77777777" w:rsidR="005D38F5" w:rsidRPr="005D38F5" w:rsidRDefault="005D38F5" w:rsidP="005D38F5">
      <w:pPr>
        <w:jc w:val="both"/>
        <w:rPr>
          <w:rFonts w:ascii="Times New Roman" w:eastAsia="Times New Roman" w:hAnsi="Times New Roman"/>
          <w:bCs/>
          <w:color w:val="202124"/>
          <w:sz w:val="24"/>
          <w:szCs w:val="24"/>
        </w:rPr>
      </w:pPr>
      <w:r w:rsidRPr="005D38F5">
        <w:rPr>
          <w:rFonts w:ascii="Times New Roman" w:eastAsia="Times New Roman" w:hAnsi="Times New Roman"/>
          <w:bCs/>
          <w:color w:val="202124"/>
          <w:sz w:val="24"/>
          <w:szCs w:val="24"/>
        </w:rPr>
        <w:t xml:space="preserve">2025-2026 Eğitim-Öğretim Yılı Güz Dönemi ders değerlendirme anketleri bütüncül olarak değerlendirildiğinde, Hemşirelik Bölümünde yürütülen derslerin öğrenciler tarafından genel olarak olumlu değerlendirildiği görülmektedir. Derslerin program ve öğrenme çıktılarıyla uyumu, derslerin planlanan içerik ve haftalık program doğrultusunda yürütülmesi, öğretim elemanlarının derse hazırlığı ve konuya hâkimiyeti, öğrenciyle iletişim ve erişilebilirlik ile ölçme-değerlendirme süreçlerine ilişkin değerlendirmeler bölümün güçlü yönlerini oluşturmaktadır. </w:t>
      </w:r>
    </w:p>
    <w:p w14:paraId="13052A53" w14:textId="77777777" w:rsidR="005D38F5" w:rsidRPr="005D38F5" w:rsidRDefault="005D38F5" w:rsidP="005D38F5">
      <w:pPr>
        <w:jc w:val="both"/>
        <w:rPr>
          <w:rFonts w:ascii="Times New Roman" w:eastAsia="Times New Roman" w:hAnsi="Times New Roman"/>
          <w:bCs/>
          <w:color w:val="202124"/>
          <w:sz w:val="24"/>
          <w:szCs w:val="24"/>
        </w:rPr>
      </w:pPr>
      <w:r w:rsidRPr="005D38F5">
        <w:rPr>
          <w:rFonts w:ascii="Times New Roman" w:eastAsia="Times New Roman" w:hAnsi="Times New Roman"/>
          <w:bCs/>
          <w:color w:val="202124"/>
          <w:sz w:val="24"/>
          <w:szCs w:val="24"/>
        </w:rPr>
        <w:t xml:space="preserve">Bununla birlikte, öğrencilerin aktif katılımını artırmaya yönelik yöntemlerin güçlendirilmesi, ders materyallerinin ve öğretim teknolojilerinin çeşitlendirilmesi, sınav sonrası geri bildirim süreçlerinin daha sistematik hâle getirilmesi ve AKTS/öğrenci iş yükü uyumunun izlenmesi geliştirmeye açık temel alanlar olarak belirlenmiştir. </w:t>
      </w:r>
    </w:p>
    <w:p w14:paraId="48356614" w14:textId="77777777" w:rsidR="005D38F5" w:rsidRPr="005D38F5" w:rsidRDefault="005D38F5" w:rsidP="005D38F5">
      <w:pPr>
        <w:jc w:val="both"/>
        <w:rPr>
          <w:rFonts w:ascii="Times New Roman" w:eastAsia="Times New Roman" w:hAnsi="Times New Roman"/>
          <w:bCs/>
          <w:color w:val="202124"/>
          <w:sz w:val="24"/>
          <w:szCs w:val="24"/>
        </w:rPr>
      </w:pPr>
      <w:r w:rsidRPr="005D38F5">
        <w:rPr>
          <w:rFonts w:ascii="Times New Roman" w:eastAsia="Times New Roman" w:hAnsi="Times New Roman"/>
          <w:bCs/>
          <w:color w:val="202124"/>
          <w:sz w:val="24"/>
          <w:szCs w:val="24"/>
        </w:rPr>
        <w:t>Sonuç olarak, bölümün mevcut güçlü yönlerinin sürdürülmesi ve öğrencilerden elde edilen geri bildirimler doğrultusunda belirlenen geliştirmeye açık alanlara yönelik iyileştirme faaliyetlerinin planlanarak izlenmesi önerilmektedir. Ders değerlendirme sonuçlarının düzenli aralıklarla karşılaştırılması ve elde edilen sonuçların eğitim-öğretim süreçlerine yansıtılması, bölümün kalite güvence ve sürekli iyileştirme çalışmalarının sürdürülebilirliğine katkı sağlayacaktır. Önceki konsolide raporda da ders değerlendirme sonuçlarının güçlü yönlerin sürdürülmesi ve geliştirmeye açık alanlar için iyileştirme stratejilerinin belirlenmesinde kullanılması esas alınmıştır.</w:t>
      </w:r>
    </w:p>
    <w:p w14:paraId="492C5F53" w14:textId="77777777" w:rsidR="005D38F5" w:rsidRPr="00336883" w:rsidRDefault="005D38F5" w:rsidP="005D38F5">
      <w:pPr>
        <w:jc w:val="both"/>
        <w:rPr>
          <w:rFonts w:ascii="Times New Roman" w:eastAsia="Times New Roman" w:hAnsi="Times New Roman"/>
          <w:bCs/>
          <w:color w:val="202124"/>
          <w:sz w:val="24"/>
          <w:szCs w:val="24"/>
        </w:rPr>
      </w:pPr>
    </w:p>
    <w:sectPr w:rsidR="005D38F5" w:rsidRPr="0033688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C74E" w14:textId="77777777" w:rsidR="00FE7798" w:rsidRDefault="00FE7798">
      <w:pPr>
        <w:spacing w:after="0" w:line="240" w:lineRule="auto"/>
      </w:pPr>
      <w:r>
        <w:separator/>
      </w:r>
    </w:p>
  </w:endnote>
  <w:endnote w:type="continuationSeparator" w:id="0">
    <w:p w14:paraId="4CFD46E4" w14:textId="77777777" w:rsidR="00FE7798" w:rsidRDefault="00FE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embedRegular r:id="rId1" w:fontKey="{2D53D746-5606-4B77-9331-A6CD88E89681}"/>
    <w:embedBold r:id="rId2" w:fontKey="{E8F10BF6-42C1-4FC5-8DFA-1BD7FE82C052}"/>
  </w:font>
  <w:font w:name="Calibri">
    <w:panose1 w:val="020F0502020204030204"/>
    <w:charset w:val="A2"/>
    <w:family w:val="swiss"/>
    <w:pitch w:val="variable"/>
    <w:sig w:usb0="E4002EFF" w:usb1="C000247B" w:usb2="00000009" w:usb3="00000000" w:csb0="000001FF" w:csb1="00000000"/>
    <w:embedRegular r:id="rId3" w:fontKey="{03385565-D695-4F46-B0C7-A0CC2386219E}"/>
  </w:font>
  <w:font w:name="Tahoma">
    <w:panose1 w:val="020B0604030504040204"/>
    <w:charset w:val="A2"/>
    <w:family w:val="swiss"/>
    <w:pitch w:val="variable"/>
    <w:sig w:usb0="E1002EFF" w:usb1="C000605B" w:usb2="00000029" w:usb3="00000000" w:csb0="000101FF" w:csb1="00000000"/>
    <w:embedRegular r:id="rId4" w:fontKey="{70C2FC3F-D752-4B23-8C60-010BDA89B526}"/>
  </w:font>
  <w:font w:name="Georgia">
    <w:panose1 w:val="02040502050405020303"/>
    <w:charset w:val="A2"/>
    <w:family w:val="roman"/>
    <w:pitch w:val="variable"/>
    <w:sig w:usb0="00000287" w:usb1="00000000" w:usb2="00000000" w:usb3="00000000" w:csb0="0000009F" w:csb1="00000000"/>
    <w:embedRegular r:id="rId5" w:fontKey="{5367DA1E-6895-476E-88A3-E1895435DD5E}"/>
    <w:embedItalic r:id="rId6" w:fontKey="{EEFF53E3-071B-4E6A-8730-51FCE34A7B9A}"/>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embedRegular r:id="rId7" w:fontKey="{7EA28204-30CB-4AF0-8C7A-599700AC9D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5EE2" w14:textId="77777777" w:rsidR="003644D5" w:rsidRDefault="003644D5">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D29B" w14:textId="77777777" w:rsidR="003644D5" w:rsidRDefault="003644D5">
    <w:pPr>
      <w:widowControl w:val="0"/>
      <w:pBdr>
        <w:top w:val="nil"/>
        <w:left w:val="nil"/>
        <w:bottom w:val="nil"/>
        <w:right w:val="nil"/>
        <w:between w:val="nil"/>
      </w:pBdr>
      <w:spacing w:after="0" w:line="276" w:lineRule="auto"/>
      <w:rPr>
        <w:color w:val="000000"/>
      </w:rPr>
    </w:pPr>
  </w:p>
  <w:tbl>
    <w:tblPr>
      <w:tblStyle w:val="ad"/>
      <w:tblW w:w="10094" w:type="dxa"/>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7"/>
      <w:gridCol w:w="5317"/>
    </w:tblGrid>
    <w:tr w:rsidR="003644D5" w14:paraId="7203D82D" w14:textId="77777777">
      <w:trPr>
        <w:trHeight w:val="334"/>
      </w:trPr>
      <w:tc>
        <w:tcPr>
          <w:tcW w:w="4777" w:type="dxa"/>
        </w:tcPr>
        <w:p w14:paraId="627A5A66" w14:textId="77777777" w:rsidR="003644D5" w:rsidRDefault="00000000">
          <w:pPr>
            <w:tabs>
              <w:tab w:val="center" w:pos="4536"/>
              <w:tab w:val="right" w:pos="9072"/>
            </w:tabs>
            <w:jc w:val="center"/>
            <w:rPr>
              <w:rFonts w:ascii="Times New Roman" w:eastAsia="Times New Roman" w:hAnsi="Times New Roman"/>
              <w:b/>
            </w:rPr>
          </w:pPr>
          <w:r>
            <w:rPr>
              <w:rFonts w:ascii="Times New Roman" w:eastAsia="Times New Roman" w:hAnsi="Times New Roman"/>
              <w:b/>
            </w:rPr>
            <w:t>Hazırlayan</w:t>
          </w:r>
        </w:p>
      </w:tc>
      <w:tc>
        <w:tcPr>
          <w:tcW w:w="5317" w:type="dxa"/>
        </w:tcPr>
        <w:p w14:paraId="0AEAEFF2" w14:textId="77777777" w:rsidR="003644D5" w:rsidRDefault="00000000">
          <w:pPr>
            <w:tabs>
              <w:tab w:val="center" w:pos="4536"/>
              <w:tab w:val="right" w:pos="9072"/>
            </w:tabs>
            <w:jc w:val="center"/>
            <w:rPr>
              <w:rFonts w:ascii="Times New Roman" w:eastAsia="Times New Roman" w:hAnsi="Times New Roman"/>
              <w:b/>
            </w:rPr>
          </w:pPr>
          <w:r>
            <w:rPr>
              <w:rFonts w:ascii="Times New Roman" w:eastAsia="Times New Roman" w:hAnsi="Times New Roman"/>
              <w:b/>
            </w:rPr>
            <w:t>Kalite Sistem Onayı</w:t>
          </w:r>
        </w:p>
      </w:tc>
    </w:tr>
    <w:tr w:rsidR="003644D5" w14:paraId="65A9B49A" w14:textId="77777777">
      <w:trPr>
        <w:trHeight w:val="430"/>
      </w:trPr>
      <w:tc>
        <w:tcPr>
          <w:tcW w:w="4777" w:type="dxa"/>
        </w:tcPr>
        <w:p w14:paraId="18891835" w14:textId="77777777" w:rsidR="003644D5" w:rsidRDefault="00000000">
          <w:pPr>
            <w:tabs>
              <w:tab w:val="center" w:pos="4536"/>
              <w:tab w:val="right" w:pos="9072"/>
            </w:tabs>
            <w:jc w:val="center"/>
            <w:rPr>
              <w:rFonts w:ascii="Times New Roman" w:eastAsia="Times New Roman" w:hAnsi="Times New Roman"/>
              <w:sz w:val="20"/>
              <w:szCs w:val="20"/>
            </w:rPr>
          </w:pPr>
          <w:r>
            <w:rPr>
              <w:rFonts w:ascii="Times New Roman" w:eastAsia="Times New Roman" w:hAnsi="Times New Roman"/>
            </w:rPr>
            <w:t>Kalite Koordinatörlüğü</w:t>
          </w:r>
        </w:p>
      </w:tc>
      <w:tc>
        <w:tcPr>
          <w:tcW w:w="5317" w:type="dxa"/>
        </w:tcPr>
        <w:p w14:paraId="5E72656B" w14:textId="77777777" w:rsidR="003644D5" w:rsidRDefault="00000000">
          <w:pPr>
            <w:tabs>
              <w:tab w:val="center" w:pos="4536"/>
              <w:tab w:val="right" w:pos="9072"/>
            </w:tabs>
            <w:jc w:val="center"/>
            <w:rPr>
              <w:rFonts w:ascii="Times New Roman" w:eastAsia="Times New Roman" w:hAnsi="Times New Roman"/>
              <w:sz w:val="20"/>
              <w:szCs w:val="20"/>
            </w:rPr>
          </w:pPr>
          <w:r>
            <w:rPr>
              <w:rFonts w:ascii="Times New Roman" w:eastAsia="Times New Roman" w:hAnsi="Times New Roman"/>
            </w:rPr>
            <w:t>Kalite Koordinatörü</w:t>
          </w:r>
        </w:p>
      </w:tc>
    </w:tr>
  </w:tbl>
  <w:p w14:paraId="3A826604" w14:textId="77777777" w:rsidR="003644D5" w:rsidRDefault="003644D5">
    <w:pPr>
      <w:pBdr>
        <w:top w:val="nil"/>
        <w:left w:val="nil"/>
        <w:bottom w:val="nil"/>
        <w:right w:val="nil"/>
        <w:between w:val="nil"/>
      </w:pBdr>
      <w:tabs>
        <w:tab w:val="center" w:pos="4536"/>
        <w:tab w:val="right" w:pos="9072"/>
      </w:tabs>
      <w:spacing w:after="0" w:line="240" w:lineRule="auto"/>
      <w:rPr>
        <w:rFonts w:ascii="Times New Roman" w:eastAsia="Times New Roman" w:hAnsi="Times New Roman"/>
        <w:color w:val="000000"/>
        <w:sz w:val="20"/>
        <w:szCs w:val="20"/>
      </w:rPr>
    </w:pPr>
  </w:p>
  <w:p w14:paraId="37907AC6" w14:textId="77777777" w:rsidR="003644D5" w:rsidRDefault="003644D5">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D8D4" w14:textId="77777777" w:rsidR="003644D5" w:rsidRDefault="003644D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DC8BE" w14:textId="77777777" w:rsidR="00FE7798" w:rsidRDefault="00FE7798">
      <w:pPr>
        <w:spacing w:after="0" w:line="240" w:lineRule="auto"/>
      </w:pPr>
      <w:r>
        <w:separator/>
      </w:r>
    </w:p>
  </w:footnote>
  <w:footnote w:type="continuationSeparator" w:id="0">
    <w:p w14:paraId="73144382" w14:textId="77777777" w:rsidR="00FE7798" w:rsidRDefault="00FE7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19E9" w14:textId="77777777" w:rsidR="003644D5" w:rsidRDefault="003644D5">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673A" w14:textId="77777777" w:rsidR="003644D5" w:rsidRDefault="003644D5">
    <w:pPr>
      <w:widowControl w:val="0"/>
      <w:pBdr>
        <w:top w:val="nil"/>
        <w:left w:val="nil"/>
        <w:bottom w:val="nil"/>
        <w:right w:val="nil"/>
        <w:between w:val="nil"/>
      </w:pBdr>
      <w:spacing w:after="0" w:line="276" w:lineRule="auto"/>
      <w:rPr>
        <w:color w:val="000000"/>
      </w:rPr>
    </w:pPr>
  </w:p>
  <w:tbl>
    <w:tblPr>
      <w:tblStyle w:val="ac"/>
      <w:tblW w:w="1009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8"/>
      <w:gridCol w:w="4986"/>
      <w:gridCol w:w="1800"/>
      <w:gridCol w:w="1507"/>
    </w:tblGrid>
    <w:tr w:rsidR="003644D5" w14:paraId="4C040FE9" w14:textId="77777777">
      <w:trPr>
        <w:trHeight w:val="257"/>
      </w:trPr>
      <w:tc>
        <w:tcPr>
          <w:tcW w:w="1798" w:type="dxa"/>
          <w:vMerge w:val="restart"/>
        </w:tcPr>
        <w:p w14:paraId="64C90AF6" w14:textId="77777777" w:rsidR="003644D5" w:rsidRDefault="00000000">
          <w:r>
            <w:rPr>
              <w:rFonts w:ascii="Arial" w:eastAsia="Arial" w:hAnsi="Arial" w:cs="Arial"/>
              <w:noProof/>
              <w:sz w:val="29"/>
              <w:szCs w:val="29"/>
            </w:rPr>
            <w:drawing>
              <wp:inline distT="0" distB="0" distL="0" distR="0" wp14:anchorId="263880F0" wp14:editId="60B74410">
                <wp:extent cx="859204" cy="832820"/>
                <wp:effectExtent l="0" t="0" r="0" b="0"/>
                <wp:docPr id="855353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59204" cy="832820"/>
                        </a:xfrm>
                        <a:prstGeom prst="rect">
                          <a:avLst/>
                        </a:prstGeom>
                        <a:ln/>
                      </pic:spPr>
                    </pic:pic>
                  </a:graphicData>
                </a:graphic>
              </wp:inline>
            </w:drawing>
          </w:r>
        </w:p>
      </w:tc>
      <w:tc>
        <w:tcPr>
          <w:tcW w:w="4986" w:type="dxa"/>
          <w:vMerge w:val="restart"/>
        </w:tcPr>
        <w:p w14:paraId="0FB678FB" w14:textId="77777777" w:rsidR="003644D5" w:rsidRDefault="003644D5">
          <w:pPr>
            <w:rPr>
              <w:rFonts w:ascii="Times New Roman" w:eastAsia="Times New Roman" w:hAnsi="Times New Roman"/>
              <w:b/>
            </w:rPr>
          </w:pPr>
        </w:p>
        <w:p w14:paraId="664BE117" w14:textId="77777777" w:rsidR="003644D5" w:rsidRDefault="00000000">
          <w:pPr>
            <w:spacing w:line="259" w:lineRule="auto"/>
            <w:jc w:val="center"/>
            <w:rPr>
              <w:rFonts w:ascii="Times New Roman" w:eastAsia="Times New Roman" w:hAnsi="Times New Roman"/>
              <w:b/>
            </w:rPr>
          </w:pPr>
          <w:r>
            <w:rPr>
              <w:rFonts w:ascii="Times New Roman" w:eastAsia="Times New Roman" w:hAnsi="Times New Roman"/>
              <w:b/>
            </w:rPr>
            <w:t>T.C.</w:t>
          </w:r>
        </w:p>
        <w:p w14:paraId="08071A22" w14:textId="77777777" w:rsidR="003644D5" w:rsidRDefault="00000000">
          <w:pPr>
            <w:spacing w:line="259" w:lineRule="auto"/>
            <w:jc w:val="center"/>
            <w:rPr>
              <w:rFonts w:ascii="Times New Roman" w:eastAsia="Times New Roman" w:hAnsi="Times New Roman"/>
              <w:b/>
            </w:rPr>
          </w:pPr>
          <w:r>
            <w:rPr>
              <w:rFonts w:ascii="Times New Roman" w:eastAsia="Times New Roman" w:hAnsi="Times New Roman"/>
              <w:b/>
            </w:rPr>
            <w:t>KASTAMONU ÜNİVERSİTESİ</w:t>
          </w:r>
        </w:p>
        <w:p w14:paraId="1382379C" w14:textId="77777777" w:rsidR="003644D5" w:rsidRDefault="00000000">
          <w:pPr>
            <w:jc w:val="center"/>
            <w:rPr>
              <w:rFonts w:ascii="Times New Roman" w:eastAsia="Times New Roman" w:hAnsi="Times New Roman"/>
              <w:b/>
            </w:rPr>
          </w:pPr>
          <w:r>
            <w:rPr>
              <w:rFonts w:ascii="Times New Roman" w:eastAsia="Times New Roman" w:hAnsi="Times New Roman"/>
              <w:b/>
            </w:rPr>
            <w:t>TOPLANTI TUTANAĞI</w:t>
          </w:r>
        </w:p>
      </w:tc>
      <w:tc>
        <w:tcPr>
          <w:tcW w:w="1800" w:type="dxa"/>
        </w:tcPr>
        <w:p w14:paraId="059C2A6D"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Doküman No</w:t>
          </w:r>
        </w:p>
      </w:tc>
      <w:tc>
        <w:tcPr>
          <w:tcW w:w="1507" w:type="dxa"/>
        </w:tcPr>
        <w:p w14:paraId="53144767"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KYS-FRM-352</w:t>
          </w:r>
        </w:p>
      </w:tc>
    </w:tr>
    <w:tr w:rsidR="003644D5" w14:paraId="5BB9C546" w14:textId="77777777">
      <w:trPr>
        <w:trHeight w:val="257"/>
      </w:trPr>
      <w:tc>
        <w:tcPr>
          <w:tcW w:w="1798" w:type="dxa"/>
          <w:vMerge/>
        </w:tcPr>
        <w:p w14:paraId="52E34126"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4986" w:type="dxa"/>
          <w:vMerge/>
        </w:tcPr>
        <w:p w14:paraId="73473108"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1800" w:type="dxa"/>
        </w:tcPr>
        <w:p w14:paraId="0D310522"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İlk Yayın Tarihi</w:t>
          </w:r>
        </w:p>
      </w:tc>
      <w:tc>
        <w:tcPr>
          <w:tcW w:w="1507" w:type="dxa"/>
        </w:tcPr>
        <w:p w14:paraId="2C9E9B55"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07.02.2022</w:t>
          </w:r>
        </w:p>
      </w:tc>
    </w:tr>
    <w:tr w:rsidR="003644D5" w14:paraId="34FAD1F9" w14:textId="77777777">
      <w:trPr>
        <w:trHeight w:val="270"/>
      </w:trPr>
      <w:tc>
        <w:tcPr>
          <w:tcW w:w="1798" w:type="dxa"/>
          <w:vMerge/>
        </w:tcPr>
        <w:p w14:paraId="00D1ED85"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4986" w:type="dxa"/>
          <w:vMerge/>
        </w:tcPr>
        <w:p w14:paraId="1091A7B0"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1800" w:type="dxa"/>
        </w:tcPr>
        <w:p w14:paraId="3EDAD066"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Revizyon Tarihi</w:t>
          </w:r>
        </w:p>
      </w:tc>
      <w:tc>
        <w:tcPr>
          <w:tcW w:w="1507" w:type="dxa"/>
        </w:tcPr>
        <w:p w14:paraId="6B79A6A4"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w:t>
          </w:r>
        </w:p>
      </w:tc>
    </w:tr>
    <w:tr w:rsidR="003644D5" w14:paraId="3914B5E7" w14:textId="77777777">
      <w:trPr>
        <w:trHeight w:val="270"/>
      </w:trPr>
      <w:tc>
        <w:tcPr>
          <w:tcW w:w="1798" w:type="dxa"/>
          <w:vMerge/>
        </w:tcPr>
        <w:p w14:paraId="1556029E"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4986" w:type="dxa"/>
          <w:vMerge/>
        </w:tcPr>
        <w:p w14:paraId="1FAF33FA"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1800" w:type="dxa"/>
        </w:tcPr>
        <w:p w14:paraId="1F69C9BA"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Revizyon No</w:t>
          </w:r>
        </w:p>
      </w:tc>
      <w:tc>
        <w:tcPr>
          <w:tcW w:w="1507" w:type="dxa"/>
        </w:tcPr>
        <w:p w14:paraId="386C981F"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00</w:t>
          </w:r>
        </w:p>
      </w:tc>
    </w:tr>
    <w:tr w:rsidR="003644D5" w14:paraId="73486192" w14:textId="77777777">
      <w:trPr>
        <w:trHeight w:val="257"/>
      </w:trPr>
      <w:tc>
        <w:tcPr>
          <w:tcW w:w="1798" w:type="dxa"/>
          <w:vMerge/>
        </w:tcPr>
        <w:p w14:paraId="6A93342F"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4986" w:type="dxa"/>
          <w:vMerge/>
        </w:tcPr>
        <w:p w14:paraId="2C45E40A" w14:textId="77777777" w:rsidR="003644D5" w:rsidRDefault="003644D5">
          <w:pPr>
            <w:widowControl w:val="0"/>
            <w:pBdr>
              <w:top w:val="nil"/>
              <w:left w:val="nil"/>
              <w:bottom w:val="nil"/>
              <w:right w:val="nil"/>
              <w:between w:val="nil"/>
            </w:pBdr>
            <w:spacing w:line="276" w:lineRule="auto"/>
            <w:rPr>
              <w:rFonts w:ascii="Times New Roman" w:eastAsia="Times New Roman" w:hAnsi="Times New Roman"/>
              <w:sz w:val="20"/>
              <w:szCs w:val="20"/>
            </w:rPr>
          </w:pPr>
        </w:p>
      </w:tc>
      <w:tc>
        <w:tcPr>
          <w:tcW w:w="1800" w:type="dxa"/>
        </w:tcPr>
        <w:p w14:paraId="104A1BDE"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Sayfa No</w:t>
          </w:r>
        </w:p>
      </w:tc>
      <w:tc>
        <w:tcPr>
          <w:tcW w:w="1507" w:type="dxa"/>
        </w:tcPr>
        <w:p w14:paraId="061BCB06" w14:textId="77777777" w:rsidR="003644D5" w:rsidRDefault="00000000">
          <w:pPr>
            <w:rPr>
              <w:rFonts w:ascii="Times New Roman" w:eastAsia="Times New Roman" w:hAnsi="Times New Roman"/>
              <w:sz w:val="20"/>
              <w:szCs w:val="20"/>
            </w:rPr>
          </w:pPr>
          <w:r>
            <w:rPr>
              <w:rFonts w:ascii="Times New Roman" w:eastAsia="Times New Roman" w:hAnsi="Times New Roman"/>
              <w:sz w:val="20"/>
              <w:szCs w:val="20"/>
            </w:rPr>
            <w:t>1/1</w:t>
          </w:r>
        </w:p>
      </w:tc>
    </w:tr>
  </w:tbl>
  <w:p w14:paraId="3AD40750" w14:textId="77777777" w:rsidR="003644D5" w:rsidRDefault="003644D5">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7347" w14:textId="77777777" w:rsidR="003644D5" w:rsidRDefault="003644D5">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DD"/>
    <w:multiLevelType w:val="multilevel"/>
    <w:tmpl w:val="98F0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92221"/>
    <w:multiLevelType w:val="multilevel"/>
    <w:tmpl w:val="26E0C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D7701"/>
    <w:multiLevelType w:val="hybridMultilevel"/>
    <w:tmpl w:val="1456652A"/>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2C0FFD"/>
    <w:multiLevelType w:val="multilevel"/>
    <w:tmpl w:val="29B6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F5378"/>
    <w:multiLevelType w:val="hybridMultilevel"/>
    <w:tmpl w:val="F230CF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B146C0B"/>
    <w:multiLevelType w:val="multilevel"/>
    <w:tmpl w:val="43FC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D0104"/>
    <w:multiLevelType w:val="multilevel"/>
    <w:tmpl w:val="5FC2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4433D"/>
    <w:multiLevelType w:val="multilevel"/>
    <w:tmpl w:val="97D8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70FAA"/>
    <w:multiLevelType w:val="hybridMultilevel"/>
    <w:tmpl w:val="28605A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ED0637"/>
    <w:multiLevelType w:val="multilevel"/>
    <w:tmpl w:val="1DA0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C2F78"/>
    <w:multiLevelType w:val="multilevel"/>
    <w:tmpl w:val="97B68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6352F4"/>
    <w:multiLevelType w:val="multilevel"/>
    <w:tmpl w:val="3B12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D23DF1"/>
    <w:multiLevelType w:val="multilevel"/>
    <w:tmpl w:val="2184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F5971"/>
    <w:multiLevelType w:val="multilevel"/>
    <w:tmpl w:val="081C5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473ED8"/>
    <w:multiLevelType w:val="multilevel"/>
    <w:tmpl w:val="639E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157AF7"/>
    <w:multiLevelType w:val="multilevel"/>
    <w:tmpl w:val="5A0A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911976">
    <w:abstractNumId w:val="7"/>
  </w:num>
  <w:num w:numId="2" w16cid:durableId="1405375209">
    <w:abstractNumId w:val="12"/>
  </w:num>
  <w:num w:numId="3" w16cid:durableId="2134059506">
    <w:abstractNumId w:val="0"/>
  </w:num>
  <w:num w:numId="4" w16cid:durableId="386344200">
    <w:abstractNumId w:val="5"/>
  </w:num>
  <w:num w:numId="5" w16cid:durableId="1681420690">
    <w:abstractNumId w:val="6"/>
  </w:num>
  <w:num w:numId="6" w16cid:durableId="990332296">
    <w:abstractNumId w:val="10"/>
  </w:num>
  <w:num w:numId="7" w16cid:durableId="372778040">
    <w:abstractNumId w:val="8"/>
  </w:num>
  <w:num w:numId="8" w16cid:durableId="1965188015">
    <w:abstractNumId w:val="2"/>
  </w:num>
  <w:num w:numId="9" w16cid:durableId="1021783353">
    <w:abstractNumId w:val="4"/>
  </w:num>
  <w:num w:numId="10" w16cid:durableId="1270964083">
    <w:abstractNumId w:val="11"/>
  </w:num>
  <w:num w:numId="11" w16cid:durableId="1534465561">
    <w:abstractNumId w:val="3"/>
  </w:num>
  <w:num w:numId="12" w16cid:durableId="1069034421">
    <w:abstractNumId w:val="15"/>
  </w:num>
  <w:num w:numId="13" w16cid:durableId="1908297273">
    <w:abstractNumId w:val="1"/>
  </w:num>
  <w:num w:numId="14" w16cid:durableId="2132049674">
    <w:abstractNumId w:val="9"/>
  </w:num>
  <w:num w:numId="15" w16cid:durableId="1270355154">
    <w:abstractNumId w:val="14"/>
  </w:num>
  <w:num w:numId="16" w16cid:durableId="10666807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4D5"/>
    <w:rsid w:val="00005940"/>
    <w:rsid w:val="00097274"/>
    <w:rsid w:val="00147990"/>
    <w:rsid w:val="00217116"/>
    <w:rsid w:val="002527FA"/>
    <w:rsid w:val="002B46A9"/>
    <w:rsid w:val="002F3C7B"/>
    <w:rsid w:val="00326842"/>
    <w:rsid w:val="003362D5"/>
    <w:rsid w:val="00336883"/>
    <w:rsid w:val="00346873"/>
    <w:rsid w:val="003644D5"/>
    <w:rsid w:val="004005F0"/>
    <w:rsid w:val="00453C9D"/>
    <w:rsid w:val="00455068"/>
    <w:rsid w:val="00523A7B"/>
    <w:rsid w:val="00582F75"/>
    <w:rsid w:val="005D38F5"/>
    <w:rsid w:val="006502C7"/>
    <w:rsid w:val="0065512F"/>
    <w:rsid w:val="0066058E"/>
    <w:rsid w:val="00717D63"/>
    <w:rsid w:val="00873442"/>
    <w:rsid w:val="00891304"/>
    <w:rsid w:val="0089227E"/>
    <w:rsid w:val="00902A32"/>
    <w:rsid w:val="00961983"/>
    <w:rsid w:val="009E0A87"/>
    <w:rsid w:val="00A83635"/>
    <w:rsid w:val="00A9633F"/>
    <w:rsid w:val="00AA2867"/>
    <w:rsid w:val="00B10727"/>
    <w:rsid w:val="00B62C80"/>
    <w:rsid w:val="00BB4175"/>
    <w:rsid w:val="00C515BD"/>
    <w:rsid w:val="00C94D6D"/>
    <w:rsid w:val="00D05840"/>
    <w:rsid w:val="00D16B14"/>
    <w:rsid w:val="00D30B2A"/>
    <w:rsid w:val="00DA266B"/>
    <w:rsid w:val="00E939B4"/>
    <w:rsid w:val="00ED0202"/>
    <w:rsid w:val="00F26DF1"/>
    <w:rsid w:val="00F37ABC"/>
    <w:rsid w:val="00F7096E"/>
    <w:rsid w:val="00FA19FA"/>
    <w:rsid w:val="00FE7798"/>
    <w:rsid w:val="4742A802"/>
    <w:rsid w:val="61348F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C749"/>
  <w15:docId w15:val="{A2261602-2851-42E2-B6AF-C323A8FD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Century Gothic"/>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040"/>
    <w:rPr>
      <w:rFonts w:cs="Times New Roman"/>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0"/>
    <w:tblPr>
      <w:tblCellMar>
        <w:top w:w="0" w:type="dxa"/>
        <w:left w:w="0" w:type="dxa"/>
        <w:bottom w:w="0" w:type="dxa"/>
        <w:right w:w="0" w:type="dxa"/>
      </w:tblCellMar>
    </w:tblPr>
  </w:style>
  <w:style w:type="paragraph" w:styleId="stBilgi">
    <w:name w:val="header"/>
    <w:basedOn w:val="Normal"/>
    <w:link w:val="stBilgiChar"/>
    <w:uiPriority w:val="99"/>
    <w:unhideWhenUsed/>
    <w:rsid w:val="0050104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01040"/>
    <w:rPr>
      <w:rFonts w:ascii="Century Gothic" w:eastAsia="Century Gothic" w:hAnsi="Century Gothic" w:cs="Times New Roman"/>
    </w:rPr>
  </w:style>
  <w:style w:type="paragraph" w:styleId="AralkYok">
    <w:name w:val="No Spacing"/>
    <w:uiPriority w:val="1"/>
    <w:qFormat/>
    <w:rsid w:val="00501040"/>
    <w:pPr>
      <w:spacing w:after="0" w:line="240" w:lineRule="auto"/>
    </w:pPr>
    <w:rPr>
      <w:rFonts w:ascii="Calibri" w:eastAsia="Calibri" w:hAnsi="Calibri" w:cs="Times New Roman"/>
    </w:rPr>
  </w:style>
  <w:style w:type="paragraph" w:styleId="AltBilgi">
    <w:name w:val="footer"/>
    <w:basedOn w:val="Normal"/>
    <w:link w:val="AltBilgiChar"/>
    <w:uiPriority w:val="99"/>
    <w:unhideWhenUsed/>
    <w:rsid w:val="0050104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01040"/>
    <w:rPr>
      <w:rFonts w:ascii="Century Gothic" w:eastAsia="Century Gothic" w:hAnsi="Century Gothic" w:cs="Times New Roman"/>
    </w:rPr>
  </w:style>
  <w:style w:type="table" w:styleId="TabloKlavuzu">
    <w:name w:val="Table Grid"/>
    <w:basedOn w:val="NormalTablo"/>
    <w:uiPriority w:val="39"/>
    <w:rsid w:val="000D4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0D4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116C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116CE"/>
    <w:rPr>
      <w:rFonts w:ascii="Tahoma" w:eastAsia="Century Gothic" w:hAnsi="Tahoma" w:cs="Tahoma"/>
      <w:sz w:val="16"/>
      <w:szCs w:val="1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 w:type="character" w:styleId="Gl">
    <w:name w:val="Strong"/>
    <w:basedOn w:val="VarsaylanParagrafYazTipi"/>
    <w:uiPriority w:val="22"/>
    <w:qFormat/>
    <w:rsid w:val="00A83635"/>
    <w:rPr>
      <w:b/>
      <w:bCs/>
    </w:rPr>
  </w:style>
  <w:style w:type="paragraph" w:styleId="NormalWeb">
    <w:name w:val="Normal (Web)"/>
    <w:basedOn w:val="Normal"/>
    <w:uiPriority w:val="99"/>
    <w:semiHidden/>
    <w:unhideWhenUsed/>
    <w:rsid w:val="00326842"/>
    <w:pPr>
      <w:spacing w:before="100" w:beforeAutospacing="1" w:after="100" w:afterAutospacing="1" w:line="240" w:lineRule="auto"/>
    </w:pPr>
    <w:rPr>
      <w:rFonts w:ascii="Times New Roman" w:eastAsia="Times New Roman" w:hAnsi="Times New Roman"/>
      <w:sz w:val="24"/>
      <w:szCs w:val="24"/>
    </w:rPr>
  </w:style>
  <w:style w:type="paragraph" w:styleId="ListeParagraf">
    <w:name w:val="List Paragraph"/>
    <w:basedOn w:val="Normal"/>
    <w:uiPriority w:val="34"/>
    <w:qFormat/>
    <w:rsid w:val="00F26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E9H5VrlOxIjsG03tN7fEiPvxJQ==">CgMxLjA4AHIhMW1IRi1IQlh5b05HVGg1QmtlMmplTjlzM1dQR1prdlND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1965</Words>
  <Characters>11201</Characters>
  <Application>Microsoft Office Word</Application>
  <DocSecurity>0</DocSecurity>
  <Lines>93</Lines>
  <Paragraphs>26</Paragraphs>
  <ScaleCrop>false</ScaleCrop>
  <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iktisat</dc:creator>
  <cp:lastModifiedBy>ksofti 180</cp:lastModifiedBy>
  <cp:revision>31</cp:revision>
  <dcterms:created xsi:type="dcterms:W3CDTF">2025-04-13T19:22:00Z</dcterms:created>
  <dcterms:modified xsi:type="dcterms:W3CDTF">2026-09-10T12:03:00Z</dcterms:modified>
</cp:coreProperties>
</file>